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31" w:rsidRDefault="003D153C">
      <w:pPr>
        <w:ind w:left="9"/>
      </w:pPr>
      <w:bookmarkStart w:id="0" w:name="_GoBack"/>
      <w:bookmarkEnd w:id="0"/>
      <w:r>
        <w:t xml:space="preserve">Nome da disciplina:  PSICOLOGIA COMPORTAMENTAL IV   Departamento:  MÉTODOS E TÉCNICAS   </w:t>
      </w:r>
    </w:p>
    <w:p w:rsidR="000C4931" w:rsidRDefault="003D153C">
      <w:pPr>
        <w:pStyle w:val="Ttulo1"/>
        <w:ind w:left="-5"/>
      </w:pPr>
      <w:r>
        <w:t>Período:  4º</w:t>
      </w:r>
      <w:r>
        <w:rPr>
          <w:vertAlign w:val="subscript"/>
        </w:rPr>
        <w:t xml:space="preserve"> </w:t>
      </w:r>
      <w:r>
        <w:t xml:space="preserve">Número de Créditos: 02   </w:t>
      </w:r>
    </w:p>
    <w:p w:rsidR="000C4931" w:rsidRDefault="003D153C">
      <w:pPr>
        <w:ind w:left="9" w:right="0"/>
      </w:pPr>
      <w:r>
        <w:t>Semestre/Ano:  2º semestre 201</w:t>
      </w:r>
      <w:r w:rsidR="006743C6">
        <w:t>8</w:t>
      </w:r>
      <w:r>
        <w:t xml:space="preserve">   </w:t>
      </w:r>
    </w:p>
    <w:p w:rsidR="000C4931" w:rsidRDefault="003D153C">
      <w:pPr>
        <w:ind w:left="9" w:right="0"/>
      </w:pPr>
      <w:r>
        <w:t xml:space="preserve">Professores: Denigés </w:t>
      </w:r>
      <w:proofErr w:type="spellStart"/>
      <w:r>
        <w:t>Maurel</w:t>
      </w:r>
      <w:proofErr w:type="spellEnd"/>
      <w:r>
        <w:t xml:space="preserve"> Regis Neto</w:t>
      </w:r>
      <w:r w:rsidR="006150BE">
        <w:t>, Fátima Regina Pires de Assis e Thoma</w:t>
      </w:r>
      <w:r w:rsidR="00281DB0">
        <w:t>s</w:t>
      </w:r>
      <w:r w:rsidR="006150BE">
        <w:t xml:space="preserve"> Anatol</w:t>
      </w:r>
      <w:r w:rsidR="006743C6">
        <w:t xml:space="preserve"> </w:t>
      </w:r>
      <w:proofErr w:type="gramStart"/>
      <w:r w:rsidR="006743C6">
        <w:t>Woelz</w:t>
      </w:r>
      <w:r w:rsidR="006150BE">
        <w:t xml:space="preserve"> </w:t>
      </w:r>
      <w:r>
        <w:t>.</w:t>
      </w:r>
      <w:proofErr w:type="gramEnd"/>
      <w:r>
        <w:t xml:space="preserve">  </w:t>
      </w:r>
    </w:p>
    <w:p w:rsidR="000C4931" w:rsidRDefault="003D153C">
      <w:pPr>
        <w:spacing w:after="33" w:line="259" w:lineRule="auto"/>
        <w:ind w:left="14" w:right="0" w:firstLine="0"/>
        <w:jc w:val="left"/>
      </w:pPr>
      <w:r>
        <w:t xml:space="preserve">  </w:t>
      </w:r>
    </w:p>
    <w:p w:rsidR="000C4931" w:rsidRDefault="003D153C">
      <w:pPr>
        <w:pStyle w:val="Ttulo1"/>
        <w:ind w:left="-5"/>
      </w:pPr>
      <w:r>
        <w:t xml:space="preserve">Objetivos da Disciplina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Nas disciplinas Psicologia Comportamental I, II e III foram discutidos alguns dos conceitos básicos que compõem o referencial teórico da Análise Experimental do Comportamento. Em especial foram enfatizados conceitos relacionados à instalação e manutenção do comportamento por reforçamento positivo e ao controle de estímulos, com extensões ao comportamento verbal e ao papel dos eventos privados na </w:t>
      </w:r>
      <w:r w:rsidR="006150BE">
        <w:t>A</w:t>
      </w:r>
      <w:r>
        <w:t xml:space="preserve">nálise do </w:t>
      </w:r>
      <w:r w:rsidR="006150BE">
        <w:t>C</w:t>
      </w:r>
      <w:r>
        <w:t xml:space="preserve">omportamento.  Na disciplina Psicologia Comportamental IV serão abordados conceitos decorrentes da inclusão dos fenômenos sociais como legítimos objetos de estudo da Análise do Comportamento. O objetivo geral é analisar as características e implicações do controle do comportamento pelo ambiente social, em especial quando o controle do comportamento é coercitivo.   </w:t>
      </w:r>
    </w:p>
    <w:p w:rsidR="000C4931" w:rsidRDefault="003D153C">
      <w:pPr>
        <w:spacing w:after="26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spacing w:after="69"/>
        <w:ind w:left="9" w:right="0"/>
      </w:pPr>
      <w:r>
        <w:t xml:space="preserve">São objetivos da disciplina Psicologia Comportamental IV:   </w:t>
      </w:r>
    </w:p>
    <w:p w:rsidR="000C4931" w:rsidRDefault="003D153C">
      <w:pPr>
        <w:numPr>
          <w:ilvl w:val="0"/>
          <w:numId w:val="1"/>
        </w:numPr>
        <w:spacing w:after="59"/>
        <w:ind w:right="0" w:hanging="137"/>
      </w:pPr>
      <w:r>
        <w:t xml:space="preserve">Identificar e definir conceitos da Análise do Comportamento necessários para descrever a complexidade do comportamento do homem em sociedade;   </w:t>
      </w:r>
    </w:p>
    <w:p w:rsidR="000C4931" w:rsidRDefault="003D153C">
      <w:pPr>
        <w:numPr>
          <w:ilvl w:val="0"/>
          <w:numId w:val="1"/>
        </w:numPr>
        <w:spacing w:after="70"/>
        <w:ind w:right="0" w:hanging="137"/>
      </w:pPr>
      <w:r>
        <w:t xml:space="preserve">Identificar e definir conceitos relacionados ao controle coercitivo;   </w:t>
      </w:r>
    </w:p>
    <w:p w:rsidR="000C4931" w:rsidRDefault="003D153C">
      <w:pPr>
        <w:numPr>
          <w:ilvl w:val="0"/>
          <w:numId w:val="1"/>
        </w:numPr>
        <w:spacing w:after="62"/>
        <w:ind w:right="0" w:hanging="137"/>
      </w:pPr>
      <w:r>
        <w:t xml:space="preserve">Analisar os efeitos colaterais do controle coercitivo do comportamento humano e suas implicações sociais;   </w:t>
      </w:r>
    </w:p>
    <w:p w:rsidR="000C4931" w:rsidRDefault="003D153C">
      <w:pPr>
        <w:numPr>
          <w:ilvl w:val="0"/>
          <w:numId w:val="1"/>
        </w:numPr>
        <w:ind w:right="0" w:hanging="137"/>
      </w:pPr>
      <w:r>
        <w:t xml:space="preserve">Analisar propostas de alternativas ao controle coercitivo.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pStyle w:val="Ttulo1"/>
        <w:ind w:left="-5"/>
      </w:pPr>
      <w:r>
        <w:t xml:space="preserve">Conteúdo Programático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</w:t>
      </w:r>
    </w:p>
    <w:p w:rsidR="000C4931" w:rsidRDefault="003D153C">
      <w:pPr>
        <w:ind w:left="9" w:right="0"/>
      </w:pPr>
      <w:r>
        <w:t xml:space="preserve">Unidade 1 – O ambiente social e o controle do comportamento humano.   </w:t>
      </w:r>
    </w:p>
    <w:p w:rsidR="000C4931" w:rsidRDefault="003D153C">
      <w:pPr>
        <w:ind w:left="9" w:right="0"/>
      </w:pPr>
      <w:r>
        <w:t xml:space="preserve">Unidade 2 – Coerção como uma das formas de controle: punição.   </w:t>
      </w:r>
    </w:p>
    <w:p w:rsidR="000C4931" w:rsidRDefault="003D153C">
      <w:pPr>
        <w:ind w:left="9" w:right="0"/>
      </w:pPr>
      <w:r>
        <w:t>Unidade 3 – Coerção como uma das formas de controle: reforçamento negativo</w:t>
      </w:r>
      <w:r w:rsidR="006150BE">
        <w:t>-fuga</w:t>
      </w:r>
      <w:r>
        <w:t xml:space="preserve">.   </w:t>
      </w:r>
    </w:p>
    <w:p w:rsidR="000C4931" w:rsidRDefault="003D153C">
      <w:pPr>
        <w:ind w:left="9" w:right="0"/>
      </w:pPr>
      <w:r>
        <w:t xml:space="preserve">Unidade 4 – </w:t>
      </w:r>
      <w:r w:rsidR="006150BE">
        <w:t>Coerção como uma das formas de controle: reforçamento negativo-</w:t>
      </w:r>
      <w:proofErr w:type="gramStart"/>
      <w:r w:rsidR="006150BE">
        <w:t>esquiva .</w:t>
      </w:r>
      <w:proofErr w:type="gramEnd"/>
      <w:r w:rsidR="006150BE">
        <w:t xml:space="preserve">   </w:t>
      </w:r>
    </w:p>
    <w:p w:rsidR="006150BE" w:rsidRDefault="003D153C">
      <w:pPr>
        <w:ind w:left="9" w:right="0"/>
      </w:pPr>
      <w:r>
        <w:t xml:space="preserve">Unidade 5 </w:t>
      </w:r>
      <w:r w:rsidR="006150BE">
        <w:t xml:space="preserve">- Efeitos colaterais da coerção e suas implicações sociais.   </w:t>
      </w:r>
    </w:p>
    <w:p w:rsidR="000C4931" w:rsidRDefault="003D153C">
      <w:pPr>
        <w:ind w:left="9" w:right="0"/>
      </w:pPr>
      <w:r>
        <w:t>Unidade 6 – Alternativas ao controle coercitivo</w:t>
      </w:r>
      <w:r w:rsidR="006150BE">
        <w:t>.</w:t>
      </w:r>
      <w:r>
        <w:t xml:space="preserve">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</w:t>
      </w:r>
    </w:p>
    <w:p w:rsidR="000C4931" w:rsidRDefault="003D153C">
      <w:pPr>
        <w:pStyle w:val="Ttulo1"/>
        <w:ind w:left="-5"/>
      </w:pPr>
      <w:r>
        <w:t xml:space="preserve">Estratégias para aprendizagem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Em sala de aula serão feitas exposições pelo professor, atividades em grupo e exercícios individuais. Essas atividades são planejadas supondo uma preparação prévia do aluno.   </w:t>
      </w:r>
    </w:p>
    <w:p w:rsidR="000C4931" w:rsidRDefault="003D153C">
      <w:pPr>
        <w:spacing w:after="14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pStyle w:val="Ttulo1"/>
        <w:ind w:left="-5"/>
      </w:pPr>
      <w:r>
        <w:t xml:space="preserve">Avaliação   </w:t>
      </w:r>
    </w:p>
    <w:p w:rsidR="000C4931" w:rsidRDefault="003D153C">
      <w:pPr>
        <w:spacing w:after="0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lastRenderedPageBreak/>
        <w:t xml:space="preserve">Durante o semestre serão realizadas cinco atividades de avaliação individual ao final de cada unidade no valor de 1,0 (um) ponto cada; e uma avaliação de grupo no valor de 2,0 (dois) pontos. Serão avaliadas individualmente a leitura e compreensão de conceitos.  A aplicação de conceitos será avaliada por meio da atividade de grupo.   </w:t>
      </w:r>
    </w:p>
    <w:p w:rsidR="000C4931" w:rsidRDefault="003D153C">
      <w:pPr>
        <w:ind w:left="9" w:right="0"/>
      </w:pPr>
      <w:r>
        <w:t xml:space="preserve"> As notas obtidas em cada uma das atividades individuais serão acumuladas até o valor de 5,0 (cinco) pontos. A nota obtida na atividade grupal valerá 2,0 pontos.   </w:t>
      </w:r>
    </w:p>
    <w:p w:rsidR="000C4931" w:rsidRDefault="003D153C">
      <w:pPr>
        <w:ind w:left="9" w:right="0"/>
      </w:pPr>
      <w:r>
        <w:t xml:space="preserve">Haverá uma avaliação síntese (final) individual com valor de 3,0 pontos. A nota final mínima para aprovação é 5,0 (cinco) pontos. Sendo obrigatório para a aprovação atingir ao menos metade do valor da avaliação síntese (final) individual.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  </w:t>
      </w:r>
    </w:p>
    <w:p w:rsidR="000C4931" w:rsidRDefault="003D153C">
      <w:pPr>
        <w:pStyle w:val="Ttulo1"/>
        <w:ind w:left="-5"/>
      </w:pPr>
      <w:r>
        <w:t xml:space="preserve">Bibliografia básica  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SIDMAN, M. (1995). Coerção e suas implicações. Campinas: Editorial </w:t>
      </w:r>
      <w:proofErr w:type="spellStart"/>
      <w:r>
        <w:t>Psy</w:t>
      </w:r>
      <w:proofErr w:type="spellEnd"/>
      <w:r>
        <w:t xml:space="preserve">.  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SKINNER, B.F. (1989). Ciência e comportamento humano. 7. ed. São Paulo: Martins Fontes.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SKINNER, B.F. (1992). Sobre o Behaviorismo. São Paulo: </w:t>
      </w:r>
      <w:proofErr w:type="spellStart"/>
      <w:r>
        <w:t>Cultrix</w:t>
      </w:r>
      <w:proofErr w:type="spellEnd"/>
      <w:r>
        <w:t xml:space="preserve">.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 </w:t>
      </w:r>
    </w:p>
    <w:p w:rsidR="000C4931" w:rsidRDefault="003D153C">
      <w:pPr>
        <w:pStyle w:val="Ttulo1"/>
        <w:ind w:left="-5"/>
      </w:pPr>
      <w:r>
        <w:t xml:space="preserve">Bibliografia complementar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CATANIA, A.C. (1999). Aprendizagem: comportamento, linguagem e cognição. 4. ed. Porto Alegre: Artes Médicas.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FERSTER, C.B.; CULBERTSON, S.; PERROT-BOREN, M.C. (1977). Princípios do Comportamento. São Paulo: </w:t>
      </w:r>
      <w:proofErr w:type="spellStart"/>
      <w:r>
        <w:t>Hucitec</w:t>
      </w:r>
      <w:proofErr w:type="spellEnd"/>
      <w:r>
        <w:t xml:space="preserve">/Edusp.  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HOLLAND, J. G. (1978). </w:t>
      </w:r>
      <w:proofErr w:type="spellStart"/>
      <w:r>
        <w:t>Behaviorism</w:t>
      </w:r>
      <w:proofErr w:type="spellEnd"/>
      <w:r>
        <w:t xml:space="preserve">: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?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v. 11, n. 1, 163-174.   </w:t>
      </w:r>
    </w:p>
    <w:p w:rsidR="000C4931" w:rsidRDefault="003D153C">
      <w:pPr>
        <w:spacing w:after="28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MILLENSON, J.R. (1975). Princípios de Análise do Comportamento. Brasília: Coordenada.   </w:t>
      </w:r>
    </w:p>
    <w:p w:rsidR="000C4931" w:rsidRDefault="003D153C">
      <w:pPr>
        <w:spacing w:after="31" w:line="259" w:lineRule="auto"/>
        <w:ind w:left="29" w:right="0" w:firstLine="0"/>
        <w:jc w:val="left"/>
      </w:pPr>
      <w:r>
        <w:t xml:space="preserve">   </w:t>
      </w:r>
    </w:p>
    <w:p w:rsidR="000C4931" w:rsidRDefault="003D153C">
      <w:pPr>
        <w:ind w:left="9" w:right="0"/>
      </w:pPr>
      <w:r>
        <w:t xml:space="preserve">SKINNER, B.F. (1983). O mito da liberdade. 2. ed. São Paulo: </w:t>
      </w:r>
      <w:proofErr w:type="spellStart"/>
      <w:r>
        <w:t>Summus</w:t>
      </w:r>
      <w:proofErr w:type="spellEnd"/>
      <w:r>
        <w:t xml:space="preserve">.   </w:t>
      </w:r>
    </w:p>
    <w:p w:rsidR="000C4931" w:rsidRDefault="003D153C">
      <w:pPr>
        <w:spacing w:after="33" w:line="259" w:lineRule="auto"/>
        <w:ind w:left="14" w:right="0" w:firstLine="0"/>
        <w:jc w:val="left"/>
      </w:pPr>
      <w:r>
        <w:t xml:space="preserve"> </w:t>
      </w:r>
    </w:p>
    <w:p w:rsidR="000C4931" w:rsidRDefault="008B6232">
      <w:pPr>
        <w:ind w:left="9" w:right="0"/>
      </w:pPr>
      <w:r>
        <w:t>SKINNER, B.F</w:t>
      </w:r>
      <w:r w:rsidR="003D153C">
        <w:t>. (1990). The non-</w:t>
      </w:r>
      <w:proofErr w:type="spellStart"/>
      <w:r w:rsidR="003D153C">
        <w:t>punitive</w:t>
      </w:r>
      <w:proofErr w:type="spellEnd"/>
      <w:r w:rsidR="003D153C">
        <w:t xml:space="preserve"> </w:t>
      </w:r>
      <w:proofErr w:type="spellStart"/>
      <w:r w:rsidR="003D153C">
        <w:t>society</w:t>
      </w:r>
      <w:proofErr w:type="spellEnd"/>
      <w:r w:rsidR="003D153C">
        <w:t xml:space="preserve">. </w:t>
      </w:r>
      <w:proofErr w:type="spellStart"/>
      <w:r w:rsidR="003D153C">
        <w:t>Japanese</w:t>
      </w:r>
      <w:proofErr w:type="spellEnd"/>
      <w:r w:rsidR="003D153C">
        <w:t xml:space="preserve"> </w:t>
      </w:r>
      <w:proofErr w:type="spellStart"/>
      <w:r w:rsidR="003D153C">
        <w:t>journal</w:t>
      </w:r>
      <w:proofErr w:type="spellEnd"/>
      <w:r w:rsidR="003D153C">
        <w:t xml:space="preserve"> </w:t>
      </w:r>
      <w:proofErr w:type="spellStart"/>
      <w:r w:rsidR="003D153C">
        <w:t>of</w:t>
      </w:r>
      <w:proofErr w:type="spellEnd"/>
      <w:r w:rsidR="003D153C">
        <w:t xml:space="preserve"> </w:t>
      </w:r>
      <w:proofErr w:type="spellStart"/>
      <w:r w:rsidR="003D153C">
        <w:t>behavior</w:t>
      </w:r>
      <w:proofErr w:type="spellEnd"/>
      <w:r w:rsidR="003D153C">
        <w:t xml:space="preserve"> </w:t>
      </w:r>
      <w:proofErr w:type="spellStart"/>
      <w:r w:rsidR="003D153C">
        <w:t>analysis</w:t>
      </w:r>
      <w:proofErr w:type="spellEnd"/>
      <w:r w:rsidR="003D153C">
        <w:t xml:space="preserve">, 5, 98-106. </w:t>
      </w:r>
    </w:p>
    <w:p w:rsidR="000C4931" w:rsidRDefault="003D153C">
      <w:pPr>
        <w:spacing w:after="0" w:line="259" w:lineRule="auto"/>
        <w:ind w:left="29" w:right="0" w:firstLine="0"/>
        <w:jc w:val="left"/>
      </w:pPr>
      <w:r>
        <w:t xml:space="preserve">   </w:t>
      </w:r>
    </w:p>
    <w:sectPr w:rsidR="000C4931">
      <w:pgSz w:w="11906" w:h="16838"/>
      <w:pgMar w:top="1510" w:right="1687" w:bottom="2413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7191"/>
    <w:multiLevelType w:val="hybridMultilevel"/>
    <w:tmpl w:val="29E45672"/>
    <w:lvl w:ilvl="0" w:tplc="ADA665FE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08C2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430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49BF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E571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4A26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2DD9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E0D4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C5E5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31"/>
    <w:rsid w:val="000C4931"/>
    <w:rsid w:val="001442FA"/>
    <w:rsid w:val="00281DB0"/>
    <w:rsid w:val="003D153C"/>
    <w:rsid w:val="006150BE"/>
    <w:rsid w:val="006743C6"/>
    <w:rsid w:val="008B6232"/>
    <w:rsid w:val="00D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251B-33BD-4420-A2FD-E42674EF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70" w:lineRule="auto"/>
      <w:ind w:left="24" w:right="166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1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programa_comp_iv_2017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programa_comp_iv_2017</dc:title>
  <dc:subject/>
  <dc:creator>DenigÃ©s</dc:creator>
  <cp:keywords/>
  <cp:lastModifiedBy>paola almeida</cp:lastModifiedBy>
  <cp:revision>2</cp:revision>
  <dcterms:created xsi:type="dcterms:W3CDTF">2018-08-06T15:00:00Z</dcterms:created>
  <dcterms:modified xsi:type="dcterms:W3CDTF">2018-08-06T15:00:00Z</dcterms:modified>
</cp:coreProperties>
</file>