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3321" w14:textId="02CFB5F9" w:rsidR="000102B8" w:rsidRDefault="000102B8" w:rsidP="000102B8">
      <w:pPr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2º SEMESTRE DE 2022</w:t>
      </w:r>
    </w:p>
    <w:p w14:paraId="4E1F462A" w14:textId="77777777" w:rsidR="000102B8" w:rsidRDefault="000102B8" w:rsidP="000102B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306"/>
      </w:tblGrid>
      <w:tr w:rsidR="000102B8" w14:paraId="5CDA8779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68C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Linha de Pesquisa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31CD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Intervenções Avaliativas em Espaços Educativos</w:t>
            </w:r>
          </w:p>
        </w:tc>
      </w:tr>
      <w:tr w:rsidR="000102B8" w14:paraId="65E5EEBC" w14:textId="77777777" w:rsidTr="000102B8">
        <w:trPr>
          <w:trHeight w:val="3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0C7E" w14:textId="77777777" w:rsidR="000102B8" w:rsidRDefault="000102B8">
            <w:pPr>
              <w:widowControl w:val="0"/>
              <w:autoSpaceDN w:val="0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Disciplina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07F5" w14:textId="77777777" w:rsidR="000102B8" w:rsidRDefault="000102B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AVALIAÇÃO E MUDANÇAS NAS PRÁTICAS EDUCATIVAS </w:t>
            </w:r>
          </w:p>
        </w:tc>
      </w:tr>
      <w:tr w:rsidR="000102B8" w14:paraId="6AFFECC0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8CFF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Tipo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F49" w14:textId="77777777" w:rsidR="000102B8" w:rsidRDefault="000102B8">
            <w:pPr>
              <w:autoSpaceDN w:val="0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Obrigatória </w:t>
            </w:r>
          </w:p>
        </w:tc>
      </w:tr>
      <w:tr w:rsidR="000102B8" w14:paraId="3E5A434D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7DE7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Horário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65F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3ª feira – 16 às 19h</w:t>
            </w:r>
          </w:p>
        </w:tc>
      </w:tr>
      <w:tr w:rsidR="000102B8" w14:paraId="73587E84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C42E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Professor (a)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DF12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Dr. Nelson Antonio Simão Gimenes</w:t>
            </w:r>
          </w:p>
        </w:tc>
      </w:tr>
      <w:tr w:rsidR="000102B8" w14:paraId="19CF32BF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8B03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Créditos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BB6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03 (três)</w:t>
            </w:r>
          </w:p>
        </w:tc>
      </w:tr>
      <w:tr w:rsidR="000102B8" w14:paraId="06C0CD57" w14:textId="77777777" w:rsidTr="000102B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83C2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Nível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010" w14:textId="77777777" w:rsidR="000102B8" w:rsidRDefault="000102B8">
            <w:pPr>
              <w:widowControl w:val="0"/>
              <w:autoSpaceDN w:val="0"/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Mestrado Profissional</w:t>
            </w:r>
          </w:p>
        </w:tc>
      </w:tr>
    </w:tbl>
    <w:p w14:paraId="2D922693" w14:textId="77777777" w:rsidR="000102B8" w:rsidRDefault="000102B8" w:rsidP="000102B8">
      <w:pPr>
        <w:jc w:val="center"/>
        <w:rPr>
          <w:rFonts w:ascii="Calibri" w:hAnsi="Calibri"/>
          <w:b/>
        </w:rPr>
      </w:pPr>
    </w:p>
    <w:p w14:paraId="5ADE9012" w14:textId="77777777" w:rsidR="000102B8" w:rsidRDefault="000102B8" w:rsidP="000102B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EMENTA:</w:t>
      </w:r>
    </w:p>
    <w:p w14:paraId="2749E4FF" w14:textId="77777777" w:rsidR="000102B8" w:rsidRDefault="000102B8" w:rsidP="000102B8">
      <w:pPr>
        <w:jc w:val="center"/>
        <w:rPr>
          <w:rFonts w:ascii="Calibri" w:hAnsi="Calibri"/>
          <w:b/>
        </w:rPr>
      </w:pPr>
    </w:p>
    <w:p w14:paraId="58E2D809" w14:textId="77777777" w:rsidR="000102B8" w:rsidRDefault="000102B8" w:rsidP="000102B8">
      <w:pPr>
        <w:spacing w:line="360" w:lineRule="auto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disciplina busca favorecer o entendimento dos pós-graduandos quanto aos aspectos fundamentais da avaliação educacional, considerando suas múltiplas dimensões (aprendizagem, institucional, docente e externa) e características (objetivos, metodologias, usos etc.). Compõe-se de 4 blocos, sendo que cada um deles trata de um tipo/dimensão específica de avaliação educacional. Procura promover um aprofundamento quanto às principais características destas dimensões/tipos.</w:t>
      </w:r>
    </w:p>
    <w:p w14:paraId="1186C377" w14:textId="77777777" w:rsidR="000102B8" w:rsidRDefault="000102B8" w:rsidP="000102B8">
      <w:pPr>
        <w:spacing w:line="360" w:lineRule="auto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disciplina está assim organizada: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60"/>
        <w:gridCol w:w="4140"/>
      </w:tblGrid>
      <w:tr w:rsidR="000102B8" w14:paraId="19D56F3A" w14:textId="77777777" w:rsidTr="000102B8">
        <w:trPr>
          <w:trHeight w:val="300"/>
          <w:jc w:val="center"/>
        </w:trPr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558CF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Bloco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D005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seq. aula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B724532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Temática </w:t>
            </w:r>
          </w:p>
        </w:tc>
      </w:tr>
      <w:tr w:rsidR="000102B8" w14:paraId="7A2CE38B" w14:textId="77777777" w:rsidTr="000102B8">
        <w:trPr>
          <w:trHeight w:val="290"/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B274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D05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EE53C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Apresentação do curso / Aula de abertura</w:t>
            </w:r>
          </w:p>
        </w:tc>
      </w:tr>
      <w:tr w:rsidR="000102B8" w14:paraId="48B7EB02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6E8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EC0C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A8A49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Conceitos gerais de avaliação educacional</w:t>
            </w:r>
          </w:p>
        </w:tc>
      </w:tr>
      <w:tr w:rsidR="000102B8" w14:paraId="60C6252A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996C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B14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315BF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7297E1EC" w14:textId="77777777" w:rsidTr="000102B8">
        <w:trPr>
          <w:trHeight w:val="290"/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A1DD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5A74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CCC56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Avaliação da aprendizagem</w:t>
            </w:r>
          </w:p>
        </w:tc>
      </w:tr>
      <w:tr w:rsidR="000102B8" w14:paraId="79E74161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FD0A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E76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8D8F0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5CD2EEEC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068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D85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1C2C0F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52CAB92F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BC6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1DF4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C0E3A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0EFC4FAE" w14:textId="77777777" w:rsidTr="000102B8">
        <w:trPr>
          <w:trHeight w:val="29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27D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,Times New Roman" w:hAnsi="Calibri" w:cs="Calibri,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CD4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F53BC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Avaliação da disciplina</w:t>
            </w:r>
          </w:p>
        </w:tc>
      </w:tr>
      <w:tr w:rsidR="000102B8" w14:paraId="3FE21DD8" w14:textId="77777777" w:rsidTr="000102B8">
        <w:trPr>
          <w:trHeight w:val="290"/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DC6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,Times New Roman" w:hAnsi="Calibri" w:cs="Calibri,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3F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2E2C2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Avaliação externa</w:t>
            </w:r>
          </w:p>
        </w:tc>
      </w:tr>
      <w:tr w:rsidR="000102B8" w14:paraId="679A87F8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BA90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1102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A6CBE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0550762E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11DB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D375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8DB44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2B3E5FF6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835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7D9D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1F3AF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615B068A" w14:textId="77777777" w:rsidTr="000102B8">
        <w:trPr>
          <w:trHeight w:val="290"/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F41C9D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680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4FEAD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Avaliação institucional</w:t>
            </w:r>
          </w:p>
        </w:tc>
      </w:tr>
      <w:tr w:rsidR="000102B8" w14:paraId="0C425E00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6D836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808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C4A7D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2ED6E699" w14:textId="77777777" w:rsidTr="000102B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1CEF81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8F9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DFB84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6203E236" w14:textId="77777777" w:rsidTr="000102B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947F0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29792F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1AE65A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</w:p>
        </w:tc>
      </w:tr>
      <w:tr w:rsidR="000102B8" w14:paraId="169AED2F" w14:textId="77777777" w:rsidTr="000102B8">
        <w:trPr>
          <w:trHeight w:val="310"/>
          <w:jc w:val="center"/>
        </w:trPr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A1173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,Times New Roman" w:hAnsi="Calibri" w:cs="Calibri,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4C4ED3" w14:textId="77777777" w:rsidR="000102B8" w:rsidRDefault="000102B8">
            <w:pPr>
              <w:jc w:val="center"/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7903FE" w14:textId="77777777" w:rsidR="000102B8" w:rsidRDefault="000102B8">
            <w:pPr>
              <w:rPr>
                <w:rFonts w:ascii="Calibri" w:eastAsia="Calibri,Times New Roman" w:hAnsi="Calibri" w:cs="Calibri,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Encerramento</w:t>
            </w:r>
          </w:p>
        </w:tc>
      </w:tr>
    </w:tbl>
    <w:p w14:paraId="5089E99B" w14:textId="77777777" w:rsidR="000102B8" w:rsidRDefault="000102B8" w:rsidP="000102B8">
      <w:pPr>
        <w:spacing w:line="360" w:lineRule="auto"/>
        <w:jc w:val="center"/>
        <w:rPr>
          <w:rFonts w:ascii="Calibri" w:hAnsi="Calibri" w:cs="Arial"/>
        </w:rPr>
      </w:pPr>
    </w:p>
    <w:p w14:paraId="55D3CEBA" w14:textId="77777777" w:rsidR="000102B8" w:rsidRDefault="000102B8" w:rsidP="000102B8">
      <w:pPr>
        <w:rPr>
          <w:rFonts w:ascii="Calibri" w:hAnsi="Calibri" w:cs="Arial"/>
        </w:rPr>
      </w:pPr>
    </w:p>
    <w:p w14:paraId="39AE933B" w14:textId="77777777" w:rsidR="000102B8" w:rsidRDefault="000102B8" w:rsidP="000102B8">
      <w:pPr>
        <w:spacing w:line="360" w:lineRule="auto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Ao final de cada bloco será realizada conferência a respeito do tipo/dimensão de avaliação educacional abordada, podendo haver a participação de um ou mais conferencistas. Esta atividade tem a intenção de fomentar o debate a respeito das </w:t>
      </w:r>
      <w:r>
        <w:rPr>
          <w:rFonts w:ascii="Calibri" w:eastAsia="Arial" w:hAnsi="Calibri" w:cs="Arial"/>
        </w:rPr>
        <w:lastRenderedPageBreak/>
        <w:t xml:space="preserve">questões propostas de maneira a contribuir para a formação acadêmica e profissional dos participantes. </w:t>
      </w:r>
    </w:p>
    <w:p w14:paraId="79531A38" w14:textId="77777777" w:rsidR="000102B8" w:rsidRDefault="000102B8" w:rsidP="000102B8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0421C3BE" w14:textId="77777777" w:rsidR="000102B8" w:rsidRDefault="000102B8" w:rsidP="000102B8">
      <w:pPr>
        <w:spacing w:line="360" w:lineRule="auto"/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Avaliação do curso</w:t>
      </w:r>
    </w:p>
    <w:p w14:paraId="1E5F0AFF" w14:textId="77777777" w:rsidR="000102B8" w:rsidRDefault="000102B8" w:rsidP="000102B8">
      <w:pPr>
        <w:spacing w:line="360" w:lineRule="auto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avaliação dos alunos no curso será realizada por meio de cinco diferentes critérios.</w:t>
      </w:r>
    </w:p>
    <w:p w14:paraId="3F358A3D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1. Produção textual – Registros, Textos reflexivos etc. </w:t>
      </w:r>
    </w:p>
    <w:p w14:paraId="04052972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2. Frequência. </w:t>
      </w:r>
    </w:p>
    <w:p w14:paraId="5513A160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3. Participação.</w:t>
      </w:r>
    </w:p>
    <w:p w14:paraId="6D22CB18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  <w:t>Atividades propostas no Moodle (ex.: Preenchimento do Perfil)</w:t>
      </w:r>
    </w:p>
    <w:p w14:paraId="6AD65525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  <w:t>Grupos de trabalho</w:t>
      </w:r>
    </w:p>
    <w:p w14:paraId="3B8D6F57" w14:textId="77777777" w:rsidR="000102B8" w:rsidRDefault="000102B8" w:rsidP="000102B8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  <w:t>Avaliação do curso</w:t>
      </w:r>
    </w:p>
    <w:p w14:paraId="3BF54308" w14:textId="77777777" w:rsidR="000102B8" w:rsidRDefault="000102B8" w:rsidP="000102B8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4B196F5C" w14:textId="77777777" w:rsidR="000102B8" w:rsidRDefault="000102B8" w:rsidP="000102B8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Bibliografia Básica:</w:t>
      </w:r>
    </w:p>
    <w:p w14:paraId="29D1F404" w14:textId="77777777" w:rsidR="000102B8" w:rsidRDefault="000102B8" w:rsidP="000102B8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68AFDE3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 xml:space="preserve">Bloco 1 – Conceitos gerais de Avaliação Educacional </w:t>
      </w:r>
    </w:p>
    <w:p w14:paraId="4D3AF5C2" w14:textId="77777777" w:rsidR="000102B8" w:rsidRDefault="000102B8" w:rsidP="000102B8">
      <w:pPr>
        <w:jc w:val="both"/>
        <w:rPr>
          <w:rFonts w:ascii="Calibri" w:hAnsi="Calibri"/>
        </w:rPr>
      </w:pPr>
    </w:p>
    <w:p w14:paraId="69F2FCE6" w14:textId="77777777" w:rsidR="000102B8" w:rsidRDefault="000102B8" w:rsidP="000102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SOUSA, Clarilza Prado de. Dimensões da avaliação educacional. Est. Aval. Educ., São </w:t>
      </w:r>
      <w:proofErr w:type="gramStart"/>
      <w:r>
        <w:rPr>
          <w:rFonts w:ascii="Calibri" w:hAnsi="Calibri"/>
        </w:rPr>
        <w:t>Paulo,  n.22</w:t>
      </w:r>
      <w:proofErr w:type="gramEnd"/>
      <w:r>
        <w:rPr>
          <w:rFonts w:ascii="Calibri" w:hAnsi="Calibri"/>
        </w:rPr>
        <w:t xml:space="preserve"> p. 101‐118, jul./dez. 2000. Disponível em:   </w:t>
      </w:r>
    </w:p>
    <w:p w14:paraId="29DCF333" w14:textId="77777777" w:rsidR="000102B8" w:rsidRDefault="000102B8" w:rsidP="000102B8">
      <w:pPr>
        <w:jc w:val="both"/>
        <w:rPr>
          <w:rFonts w:ascii="Calibri" w:hAnsi="Calibri"/>
        </w:rPr>
      </w:pPr>
      <w:hyperlink r:id="rId7" w:history="1">
        <w:r>
          <w:rPr>
            <w:rStyle w:val="Hyperlink"/>
            <w:rFonts w:ascii="Calibri" w:hAnsi="Calibri"/>
          </w:rPr>
          <w:t>http://educa.fcc.org.br/scielo.php?script=sci_arttext&amp;pid=S0103‐ 68312000000200005&amp;lng=</w:t>
        </w:r>
        <w:proofErr w:type="spellStart"/>
        <w:r>
          <w:rPr>
            <w:rStyle w:val="Hyperlink"/>
            <w:rFonts w:ascii="Calibri" w:hAnsi="Calibri"/>
          </w:rPr>
          <w:t>pt&amp;nrm</w:t>
        </w:r>
        <w:proofErr w:type="spellEnd"/>
        <w:r>
          <w:rPr>
            <w:rStyle w:val="Hyperlink"/>
            <w:rFonts w:ascii="Calibri" w:hAnsi="Calibri"/>
          </w:rPr>
          <w:t>=</w:t>
        </w:r>
        <w:proofErr w:type="spellStart"/>
        <w:r>
          <w:rPr>
            <w:rStyle w:val="Hyperlink"/>
            <w:rFonts w:ascii="Calibri" w:hAnsi="Calibri"/>
          </w:rPr>
          <w:t>iso</w:t>
        </w:r>
        <w:proofErr w:type="spellEnd"/>
      </w:hyperlink>
    </w:p>
    <w:p w14:paraId="1C6AB7BB" w14:textId="77777777" w:rsidR="000102B8" w:rsidRDefault="000102B8" w:rsidP="000102B8">
      <w:pPr>
        <w:jc w:val="both"/>
        <w:rPr>
          <w:rFonts w:ascii="Calibri" w:hAnsi="Calibri"/>
        </w:rPr>
      </w:pPr>
    </w:p>
    <w:p w14:paraId="4517505C" w14:textId="77777777" w:rsidR="000102B8" w:rsidRDefault="000102B8" w:rsidP="000102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VIANNA, </w:t>
      </w:r>
      <w:proofErr w:type="spellStart"/>
      <w:r>
        <w:rPr>
          <w:rFonts w:ascii="Calibri" w:hAnsi="Calibri"/>
        </w:rPr>
        <w:t>Heraldo.M</w:t>
      </w:r>
      <w:proofErr w:type="spellEnd"/>
      <w:r>
        <w:rPr>
          <w:rFonts w:ascii="Calibri" w:hAnsi="Calibri"/>
        </w:rPr>
        <w:t xml:space="preserve">. Avaliação educacional: uma perspectiva histórica. In Estudos em Avaliação Educacional. São Paulo, n.12, p.7-24, </w:t>
      </w:r>
      <w:proofErr w:type="gramStart"/>
      <w:r>
        <w:rPr>
          <w:rFonts w:ascii="Calibri" w:hAnsi="Calibri"/>
        </w:rPr>
        <w:t>jul./</w:t>
      </w:r>
      <w:proofErr w:type="gramEnd"/>
      <w:r>
        <w:rPr>
          <w:rFonts w:ascii="Calibri" w:hAnsi="Calibri"/>
        </w:rPr>
        <w:t>dez., 1995</w:t>
      </w:r>
    </w:p>
    <w:p w14:paraId="2A72A194" w14:textId="77777777" w:rsidR="000102B8" w:rsidRDefault="000102B8" w:rsidP="000102B8">
      <w:pPr>
        <w:jc w:val="both"/>
        <w:rPr>
          <w:rFonts w:ascii="Calibri" w:hAnsi="Calibri" w:cs="Arial"/>
          <w:b/>
        </w:rPr>
      </w:pPr>
    </w:p>
    <w:p w14:paraId="0AAD8189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Bloco 2 – Avaliação da aprendizagem</w:t>
      </w:r>
    </w:p>
    <w:p w14:paraId="3D4F2549" w14:textId="77777777" w:rsidR="000102B8" w:rsidRDefault="000102B8" w:rsidP="000102B8">
      <w:pPr>
        <w:jc w:val="both"/>
        <w:rPr>
          <w:rFonts w:ascii="Calibri" w:eastAsia="Arial" w:hAnsi="Calibri" w:cs="Arial"/>
          <w:color w:val="222222"/>
          <w:shd w:val="clear" w:color="auto" w:fill="FFFFFF"/>
        </w:rPr>
      </w:pPr>
    </w:p>
    <w:p w14:paraId="2056240F" w14:textId="77777777" w:rsidR="000102B8" w:rsidRDefault="000102B8" w:rsidP="000102B8">
      <w:pPr>
        <w:jc w:val="both"/>
        <w:rPr>
          <w:rStyle w:val="Hyperlink"/>
          <w:rFonts w:eastAsia="Arial"/>
        </w:rPr>
      </w:pPr>
      <w:r>
        <w:rPr>
          <w:rFonts w:ascii="Calibri" w:eastAsia="Arial" w:hAnsi="Calibri" w:cs="Arial"/>
          <w:color w:val="222222"/>
          <w:shd w:val="clear" w:color="auto" w:fill="FFFFFF"/>
        </w:rPr>
        <w:t>DO CÉU ROLDÃO, Maria; FERRO, Nuno. O que é avaliar? Reconstrução de práticas e concepções de avaliação.</w:t>
      </w:r>
      <w:r>
        <w:rPr>
          <w:rStyle w:val="apple-converted-space"/>
          <w:rFonts w:ascii="Calibri" w:eastAsia="Arial" w:hAnsi="Calibri" w:cs="Arial"/>
          <w:color w:val="222222"/>
          <w:shd w:val="clear" w:color="auto" w:fill="FFFFFF"/>
        </w:rPr>
        <w:t> </w:t>
      </w:r>
      <w:r>
        <w:rPr>
          <w:rFonts w:ascii="Calibri" w:eastAsia="Arial" w:hAnsi="Calibri" w:cs="Arial"/>
          <w:b/>
          <w:bCs/>
          <w:color w:val="222222"/>
          <w:shd w:val="clear" w:color="auto" w:fill="FFFFFF"/>
        </w:rPr>
        <w:t>Estudos em Avaliação Educacional</w:t>
      </w:r>
      <w:r>
        <w:rPr>
          <w:rFonts w:ascii="Calibri" w:eastAsia="Arial" w:hAnsi="Calibri" w:cs="Arial"/>
          <w:color w:val="222222"/>
          <w:shd w:val="clear" w:color="auto" w:fill="FFFFFF"/>
        </w:rPr>
        <w:t>, v. 26, n. 63, p. 570-594, 2015. Disponível em:&lt;</w:t>
      </w:r>
      <w:r>
        <w:rPr>
          <w:rFonts w:ascii="Calibri" w:eastAsia="Arial" w:hAnsi="Calibri" w:cs="Arial"/>
        </w:rPr>
        <w:t xml:space="preserve"> </w:t>
      </w:r>
      <w:hyperlink r:id="rId8" w:history="1">
        <w:r>
          <w:rPr>
            <w:rStyle w:val="Hyperlink"/>
            <w:rFonts w:ascii="Calibri" w:eastAsia="Arial" w:hAnsi="Calibri" w:cs="Arial"/>
          </w:rPr>
          <w:t>http://publicacoes.fcc.org.br/ojs/index.php/eae/article/view/3671</w:t>
        </w:r>
      </w:hyperlink>
    </w:p>
    <w:p w14:paraId="23B21251" w14:textId="77777777" w:rsidR="000102B8" w:rsidRDefault="000102B8" w:rsidP="000102B8">
      <w:pPr>
        <w:jc w:val="both"/>
        <w:rPr>
          <w:rFonts w:eastAsia="Arial"/>
        </w:rPr>
      </w:pPr>
    </w:p>
    <w:p w14:paraId="0175701E" w14:textId="77777777" w:rsidR="000102B8" w:rsidRDefault="000102B8" w:rsidP="000102B8">
      <w:pPr>
        <w:jc w:val="both"/>
        <w:rPr>
          <w:rFonts w:ascii="Calibri" w:eastAsia="Arial" w:hAnsi="Calibri" w:cs="Arial"/>
          <w:color w:val="222222"/>
        </w:rPr>
      </w:pPr>
      <w:r>
        <w:rPr>
          <w:rFonts w:ascii="Calibri" w:eastAsia="Arial" w:hAnsi="Calibri" w:cs="Arial"/>
          <w:color w:val="222222"/>
          <w:shd w:val="clear" w:color="auto" w:fill="FFFFFF"/>
        </w:rPr>
        <w:t xml:space="preserve">ALVES, José Joaquim Ferreira Matias; CABRAL, </w:t>
      </w:r>
      <w:proofErr w:type="spellStart"/>
      <w:r>
        <w:rPr>
          <w:rFonts w:ascii="Calibri" w:eastAsia="Arial" w:hAnsi="Calibri" w:cs="Arial"/>
          <w:color w:val="222222"/>
          <w:shd w:val="clear" w:color="auto" w:fill="FFFFFF"/>
        </w:rPr>
        <w:t>Ilídia</w:t>
      </w:r>
      <w:proofErr w:type="spellEnd"/>
      <w:r>
        <w:rPr>
          <w:rFonts w:ascii="Calibri" w:eastAsia="Arial" w:hAnsi="Calibri" w:cs="Arial"/>
          <w:color w:val="222222"/>
          <w:shd w:val="clear" w:color="auto" w:fill="FFFFFF"/>
        </w:rPr>
        <w:t>. Os demónios da avaliação: memórias de professores enquanto alunos.</w:t>
      </w:r>
      <w:r>
        <w:rPr>
          <w:rStyle w:val="apple-converted-space"/>
          <w:rFonts w:ascii="Calibri" w:eastAsia="Arial" w:hAnsi="Calibri" w:cs="Arial"/>
          <w:color w:val="222222"/>
          <w:shd w:val="clear" w:color="auto" w:fill="FFFFFF"/>
        </w:rPr>
        <w:t> </w:t>
      </w:r>
      <w:r>
        <w:rPr>
          <w:rFonts w:ascii="Calibri" w:eastAsia="Arial" w:hAnsi="Calibri" w:cs="Arial"/>
          <w:b/>
          <w:bCs/>
          <w:color w:val="222222"/>
          <w:shd w:val="clear" w:color="auto" w:fill="FFFFFF"/>
        </w:rPr>
        <w:t>Estudos em Avaliação Educacional</w:t>
      </w:r>
      <w:r>
        <w:rPr>
          <w:rFonts w:ascii="Calibri" w:eastAsia="Arial" w:hAnsi="Calibri" w:cs="Arial"/>
          <w:color w:val="222222"/>
          <w:shd w:val="clear" w:color="auto" w:fill="FFFFFF"/>
        </w:rPr>
        <w:t>, v. 26, n. 63, p. 630-662, 2015. Disponível em:</w:t>
      </w:r>
      <w:r>
        <w:rPr>
          <w:rFonts w:ascii="Calibri" w:eastAsia="Arial" w:hAnsi="Calibri" w:cs="Arial"/>
        </w:rPr>
        <w:t xml:space="preserve"> </w:t>
      </w:r>
      <w:hyperlink r:id="rId9" w:history="1">
        <w:r>
          <w:rPr>
            <w:rStyle w:val="Hyperlink"/>
            <w:rFonts w:ascii="Calibri" w:eastAsia="Arial" w:hAnsi="Calibri" w:cs="Arial"/>
            <w:shd w:val="clear" w:color="auto" w:fill="FFFFFF"/>
          </w:rPr>
          <w:t>http://publicacoes.fcc.org.br/ojs/index.php/eae/article/view/3690</w:t>
        </w:r>
      </w:hyperlink>
    </w:p>
    <w:p w14:paraId="115AD557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cs="Arial"/>
          <w:color w:val="000000"/>
        </w:rPr>
      </w:pPr>
    </w:p>
    <w:p w14:paraId="64B7250C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eastAsia="Arial" w:cs="Arial"/>
          <w:color w:val="222222"/>
          <w:sz w:val="20"/>
          <w:szCs w:val="20"/>
        </w:rPr>
      </w:pPr>
      <w:r>
        <w:rPr>
          <w:rFonts w:eastAsia="Arial" w:cs="Arial"/>
          <w:color w:val="222222"/>
          <w:sz w:val="20"/>
          <w:szCs w:val="20"/>
          <w:shd w:val="clear" w:color="auto" w:fill="FFFFFF"/>
        </w:rPr>
        <w:t xml:space="preserve">DAVIS, Claudia Leme Ferreira; NUNES, Marina Muniz </w:t>
      </w:r>
      <w:proofErr w:type="spellStart"/>
      <w:r>
        <w:rPr>
          <w:rFonts w:eastAsia="Arial" w:cs="Arial"/>
          <w:color w:val="222222"/>
          <w:sz w:val="20"/>
          <w:szCs w:val="20"/>
          <w:shd w:val="clear" w:color="auto" w:fill="FFFFFF"/>
        </w:rPr>
        <w:t>Rossa</w:t>
      </w:r>
      <w:proofErr w:type="spellEnd"/>
      <w:r>
        <w:rPr>
          <w:rFonts w:eastAsia="Arial" w:cs="Arial"/>
          <w:color w:val="222222"/>
          <w:sz w:val="20"/>
          <w:szCs w:val="20"/>
          <w:shd w:val="clear" w:color="auto" w:fill="FFFFFF"/>
        </w:rPr>
        <w:t xml:space="preserve">. Eu sei o que tenho que fazer: a conquista da </w:t>
      </w:r>
      <w:proofErr w:type="spellStart"/>
      <w:r>
        <w:rPr>
          <w:rFonts w:eastAsia="Arial" w:cs="Arial"/>
          <w:color w:val="222222"/>
          <w:sz w:val="20"/>
          <w:szCs w:val="20"/>
          <w:shd w:val="clear" w:color="auto" w:fill="FFFFFF"/>
        </w:rPr>
        <w:t>autorregulação</w:t>
      </w:r>
      <w:proofErr w:type="spellEnd"/>
      <w:r>
        <w:rPr>
          <w:rFonts w:eastAsia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eastAsia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eastAsia="Arial" w:cs="Arial"/>
          <w:b/>
          <w:bCs/>
          <w:color w:val="222222"/>
          <w:sz w:val="20"/>
          <w:szCs w:val="20"/>
          <w:shd w:val="clear" w:color="auto" w:fill="FFFFFF"/>
        </w:rPr>
        <w:t>Estudos em Avaliação Educacional</w:t>
      </w:r>
      <w:r>
        <w:rPr>
          <w:rFonts w:eastAsia="Arial" w:cs="Arial"/>
          <w:color w:val="222222"/>
          <w:sz w:val="20"/>
          <w:szCs w:val="20"/>
          <w:shd w:val="clear" w:color="auto" w:fill="FFFFFF"/>
        </w:rPr>
        <w:t>, v. 27, n. 64, p. 10-35, 2016.</w:t>
      </w:r>
      <w:r>
        <w:rPr>
          <w:rFonts w:eastAsia="Arial" w:cs="Arial"/>
          <w:color w:val="222222"/>
          <w:shd w:val="clear" w:color="auto" w:fill="FFFFFF"/>
        </w:rPr>
        <w:t xml:space="preserve"> Disponível em:</w:t>
      </w:r>
      <w:r>
        <w:rPr>
          <w:rFonts w:eastAsia="Arial" w:cs="Arial"/>
        </w:rPr>
        <w:t xml:space="preserve"> </w:t>
      </w:r>
      <w:hyperlink r:id="rId10" w:history="1">
        <w:r>
          <w:rPr>
            <w:rStyle w:val="Hyperlink"/>
            <w:rFonts w:eastAsia="Arial" w:cs="Arial"/>
            <w:sz w:val="20"/>
            <w:szCs w:val="20"/>
            <w:shd w:val="clear" w:color="auto" w:fill="FFFFFF"/>
          </w:rPr>
          <w:t>http://publicacoes.fcc.org.br/ojs/index.php/eae/article/view/3673/3164</w:t>
        </w:r>
      </w:hyperlink>
    </w:p>
    <w:p w14:paraId="61153CC6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cs="Arial"/>
          <w:color w:val="222222"/>
          <w:sz w:val="20"/>
          <w:szCs w:val="20"/>
          <w:shd w:val="clear" w:color="auto" w:fill="FFFFFF"/>
        </w:rPr>
      </w:pPr>
    </w:p>
    <w:p w14:paraId="06C96062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cs="Arial"/>
          <w:color w:val="000000"/>
        </w:rPr>
      </w:pPr>
    </w:p>
    <w:p w14:paraId="76834B04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GATTI, </w:t>
      </w:r>
      <w:proofErr w:type="spellStart"/>
      <w:r>
        <w:rPr>
          <w:rFonts w:eastAsia="Arial" w:cs="Arial"/>
          <w:color w:val="000000"/>
        </w:rPr>
        <w:t>Bernardette</w:t>
      </w:r>
      <w:proofErr w:type="spellEnd"/>
      <w:r>
        <w:rPr>
          <w:rFonts w:eastAsia="Arial" w:cs="Arial"/>
          <w:color w:val="000000"/>
        </w:rPr>
        <w:t xml:space="preserve"> A.; </w:t>
      </w:r>
      <w:r>
        <w:rPr>
          <w:rFonts w:eastAsia="Arial" w:cs="Arial"/>
          <w:i/>
          <w:iCs/>
          <w:color w:val="000000"/>
        </w:rPr>
        <w:t xml:space="preserve">O Professor e a Avaliação em sala de Aula; Estudos em Avaliação Educacional, </w:t>
      </w:r>
      <w:r>
        <w:rPr>
          <w:rFonts w:eastAsia="Arial" w:cs="Arial"/>
          <w:color w:val="000000"/>
        </w:rPr>
        <w:t xml:space="preserve">98 n. 27, </w:t>
      </w:r>
      <w:proofErr w:type="spellStart"/>
      <w:r>
        <w:rPr>
          <w:rFonts w:eastAsia="Arial" w:cs="Arial"/>
          <w:color w:val="000000"/>
        </w:rPr>
        <w:t>jan-jun</w:t>
      </w:r>
      <w:proofErr w:type="spellEnd"/>
      <w:r>
        <w:rPr>
          <w:rFonts w:eastAsia="Arial" w:cs="Arial"/>
          <w:color w:val="000000"/>
        </w:rPr>
        <w:t>/2003</w:t>
      </w:r>
    </w:p>
    <w:p w14:paraId="25E1DA3B" w14:textId="77777777" w:rsidR="000102B8" w:rsidRDefault="000102B8" w:rsidP="000102B8">
      <w:pPr>
        <w:jc w:val="both"/>
        <w:rPr>
          <w:rFonts w:ascii="Calibri" w:hAnsi="Calibri" w:cs="Arial"/>
        </w:rPr>
      </w:pPr>
    </w:p>
    <w:p w14:paraId="647DD3FC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</w:p>
    <w:p w14:paraId="4A3A607C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Bloco 3 – Avaliação Externa</w:t>
      </w:r>
    </w:p>
    <w:p w14:paraId="3C944B24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</w:p>
    <w:p w14:paraId="2013729B" w14:textId="77777777" w:rsidR="000102B8" w:rsidRDefault="000102B8" w:rsidP="000102B8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lastRenderedPageBreak/>
        <w:t xml:space="preserve">SOARES, José Francisco; XAVIER, Flávia Pereira. Pressupostos educacionais e estatísticos do </w:t>
      </w:r>
      <w:proofErr w:type="spellStart"/>
      <w:r>
        <w:rPr>
          <w:rFonts w:ascii="Calibri" w:eastAsia="Arial" w:hAnsi="Calibri" w:cs="Arial"/>
        </w:rPr>
        <w:t>Ideb</w:t>
      </w:r>
      <w:proofErr w:type="spellEnd"/>
      <w:r>
        <w:rPr>
          <w:rFonts w:ascii="Calibri" w:eastAsia="Arial" w:hAnsi="Calibri" w:cs="Arial"/>
        </w:rPr>
        <w:t xml:space="preserve">. Educação &amp; Sociedade, Campinas, v. 34, n. 124, p. 903-923, 2013. Disponível em: </w:t>
      </w:r>
      <w:hyperlink r:id="rId11" w:history="1">
        <w:r>
          <w:rPr>
            <w:rStyle w:val="Hyperlink"/>
            <w:rFonts w:ascii="Calibri" w:eastAsia="Arial" w:hAnsi="Calibri" w:cs="Arial"/>
          </w:rPr>
          <w:t>http://www.redalyc.org/articulo.oa?id=87328534013</w:t>
        </w:r>
      </w:hyperlink>
    </w:p>
    <w:p w14:paraId="25206593" w14:textId="77777777" w:rsidR="000102B8" w:rsidRDefault="000102B8" w:rsidP="000102B8">
      <w:pPr>
        <w:jc w:val="both"/>
        <w:rPr>
          <w:rFonts w:ascii="Calibri" w:eastAsia="Arial" w:hAnsi="Calibri" w:cs="Arial"/>
        </w:rPr>
      </w:pPr>
    </w:p>
    <w:p w14:paraId="66E573E5" w14:textId="77777777" w:rsidR="000102B8" w:rsidRDefault="000102B8" w:rsidP="000102B8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SÃO PAULO (Estado). Secretaria da Educação.  Programa de Qualidade da Escola: Nota Técnica 2014. São Paulo: SEE, 2014. Disponível em: </w:t>
      </w:r>
      <w:hyperlink r:id="rId12" w:history="1">
        <w:r>
          <w:rPr>
            <w:rStyle w:val="Hyperlink"/>
            <w:rFonts w:ascii="Calibri" w:eastAsia="Arial" w:hAnsi="Calibri" w:cs="Arial"/>
          </w:rPr>
          <w:t>http://idesp.edunet.sp.gov.br/Arquivos/NotaTecnica2013.pdf</w:t>
        </w:r>
      </w:hyperlink>
      <w:r>
        <w:rPr>
          <w:rFonts w:ascii="Calibri" w:eastAsia="Arial" w:hAnsi="Calibri" w:cs="Arial"/>
        </w:rPr>
        <w:t xml:space="preserve"> </w:t>
      </w:r>
    </w:p>
    <w:p w14:paraId="0B9BFA93" w14:textId="77777777" w:rsidR="000102B8" w:rsidRDefault="000102B8" w:rsidP="000102B8">
      <w:pPr>
        <w:jc w:val="both"/>
        <w:rPr>
          <w:rFonts w:ascii="Calibri" w:eastAsia="Arial" w:hAnsi="Calibri" w:cs="Arial"/>
        </w:rPr>
      </w:pPr>
    </w:p>
    <w:p w14:paraId="79E89FD5" w14:textId="77777777" w:rsidR="000102B8" w:rsidRDefault="000102B8" w:rsidP="000102B8">
      <w:pPr>
        <w:jc w:val="both"/>
        <w:rPr>
          <w:rFonts w:ascii="Calibri" w:eastAsia="Arial" w:hAnsi="Calibri" w:cs="Arial"/>
        </w:rPr>
      </w:pPr>
    </w:p>
    <w:p w14:paraId="6C48A4B0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BONAMINO, </w:t>
      </w:r>
      <w:proofErr w:type="spellStart"/>
      <w:r>
        <w:rPr>
          <w:rFonts w:eastAsia="Arial" w:cs="Arial"/>
          <w:color w:val="000000"/>
        </w:rPr>
        <w:t>Alícia</w:t>
      </w:r>
      <w:proofErr w:type="spellEnd"/>
      <w:r>
        <w:rPr>
          <w:rFonts w:eastAsia="Arial" w:cs="Arial"/>
          <w:color w:val="000000"/>
        </w:rPr>
        <w:t xml:space="preserve">. SOUSA, Sandra </w:t>
      </w:r>
      <w:proofErr w:type="spellStart"/>
      <w:r>
        <w:rPr>
          <w:rFonts w:eastAsia="Arial" w:cs="Arial"/>
          <w:color w:val="000000"/>
        </w:rPr>
        <w:t>Zákia</w:t>
      </w:r>
      <w:proofErr w:type="spellEnd"/>
      <w:r>
        <w:rPr>
          <w:rFonts w:eastAsia="Arial" w:cs="Arial"/>
          <w:color w:val="000000"/>
        </w:rPr>
        <w:t>.</w:t>
      </w:r>
      <w:r>
        <w:rPr>
          <w:rFonts w:eastAsia="Arial" w:cs="Arial"/>
          <w:b/>
          <w:bCs/>
          <w:color w:val="000000"/>
        </w:rPr>
        <w:t xml:space="preserve"> </w:t>
      </w:r>
      <w:r>
        <w:rPr>
          <w:rFonts w:eastAsia="Arial" w:cs="Arial"/>
          <w:i/>
          <w:iCs/>
          <w:color w:val="000000"/>
        </w:rPr>
        <w:t>Três gerações de avaliação da educação básica no Brasil: interfaces com o currículo da/na escola</w:t>
      </w:r>
      <w:r>
        <w:rPr>
          <w:rFonts w:eastAsia="Arial" w:cs="Arial"/>
          <w:color w:val="000000"/>
        </w:rPr>
        <w:t>. Educação e Pesquisa, São Paulo, v. 38, n. 2, p. 373-388, abr./jun. 2012.</w:t>
      </w:r>
    </w:p>
    <w:p w14:paraId="39E2ECF3" w14:textId="77777777" w:rsidR="000102B8" w:rsidRDefault="000102B8" w:rsidP="000102B8">
      <w:pPr>
        <w:jc w:val="both"/>
        <w:rPr>
          <w:rFonts w:ascii="Calibri" w:hAnsi="Calibri" w:cs="Arial"/>
        </w:rPr>
      </w:pPr>
    </w:p>
    <w:p w14:paraId="51A8E73D" w14:textId="77777777" w:rsidR="000102B8" w:rsidRDefault="000102B8" w:rsidP="000102B8">
      <w:pPr>
        <w:ind w:right="-1"/>
        <w:contextualSpacing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  <w:color w:val="000000"/>
        </w:rPr>
        <w:t xml:space="preserve">BROOKE, Nigel. CUNHA, Maria Amália de A. FALEIROS, Matheus. </w:t>
      </w:r>
      <w:r>
        <w:rPr>
          <w:rFonts w:ascii="Calibri" w:eastAsia="Arial" w:hAnsi="Calibri" w:cs="Arial"/>
          <w:i/>
          <w:iCs/>
          <w:color w:val="000000"/>
        </w:rPr>
        <w:t>A Avaliação Externa como Instrumento de Gestão Educacional nos Estados.</w:t>
      </w:r>
      <w:r>
        <w:rPr>
          <w:rFonts w:ascii="Calibri" w:eastAsia="Arial" w:hAnsi="Calibri" w:cs="Arial"/>
          <w:color w:val="000000"/>
        </w:rPr>
        <w:t xml:space="preserve"> GAME/FAE/UFMG.Com apoio da Fundação Vitor Civita. Agosto, 2011</w:t>
      </w:r>
      <w:r>
        <w:rPr>
          <w:rFonts w:ascii="Calibri" w:eastAsia="Arial" w:hAnsi="Calibri" w:cs="Arial"/>
        </w:rPr>
        <w:t xml:space="preserve">. Disponível em: </w:t>
      </w:r>
      <w:hyperlink r:id="rId13" w:history="1">
        <w:r>
          <w:rPr>
            <w:rStyle w:val="Hyperlink"/>
            <w:rFonts w:ascii="Calibri" w:eastAsia="Arial" w:hAnsi="Calibri" w:cs="Arial"/>
          </w:rPr>
          <w:t>http://www.fvc.org.br/pdf/livro2-01-avaliacao.pdf</w:t>
        </w:r>
      </w:hyperlink>
    </w:p>
    <w:p w14:paraId="57BBFB81" w14:textId="77777777" w:rsidR="000102B8" w:rsidRDefault="000102B8" w:rsidP="000102B8">
      <w:pPr>
        <w:jc w:val="both"/>
        <w:rPr>
          <w:rFonts w:ascii="Calibri" w:hAnsi="Calibri" w:cs="Arial"/>
        </w:rPr>
      </w:pPr>
    </w:p>
    <w:p w14:paraId="61AC76BA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GIMENES, N. Et al. </w:t>
      </w:r>
      <w:r>
        <w:rPr>
          <w:rFonts w:eastAsia="Arial" w:cs="Arial"/>
          <w:i/>
          <w:iCs/>
          <w:color w:val="000000"/>
        </w:rPr>
        <w:t>Além da Prova Brasil: Investimentos em sistemas próprios de avaliação</w:t>
      </w:r>
      <w:r>
        <w:rPr>
          <w:rFonts w:eastAsia="Arial" w:cs="Arial"/>
          <w:color w:val="000000"/>
        </w:rPr>
        <w:t>, Est. Aval. Educ., São Paulo, v. 24, n. 55, p. 12-32, abr./ago. 2013.</w:t>
      </w:r>
    </w:p>
    <w:p w14:paraId="3053A8DE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cs="Arial"/>
        </w:rPr>
      </w:pPr>
    </w:p>
    <w:p w14:paraId="14822AB0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</w:p>
    <w:p w14:paraId="60AC53D7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Bloco 4 – Avaliação Institucional</w:t>
      </w:r>
    </w:p>
    <w:p w14:paraId="4E1937E5" w14:textId="77777777" w:rsidR="000102B8" w:rsidRDefault="000102B8" w:rsidP="000102B8">
      <w:pPr>
        <w:jc w:val="both"/>
        <w:rPr>
          <w:rFonts w:ascii="Calibri" w:eastAsia="Arial" w:hAnsi="Calibri" w:cs="Arial"/>
          <w:b/>
          <w:bCs/>
        </w:rPr>
      </w:pPr>
    </w:p>
    <w:p w14:paraId="38822F66" w14:textId="77777777" w:rsidR="000102B8" w:rsidRDefault="000102B8" w:rsidP="000102B8">
      <w:pPr>
        <w:jc w:val="both"/>
        <w:rPr>
          <w:rFonts w:ascii="Calibri" w:eastAsia="Arial" w:hAnsi="Calibri" w:cs="Arial"/>
          <w:color w:val="222222"/>
        </w:rPr>
      </w:pPr>
      <w:r>
        <w:rPr>
          <w:rFonts w:ascii="Calibri" w:eastAsia="Arial" w:hAnsi="Calibri" w:cs="Arial"/>
          <w:color w:val="222222"/>
        </w:rPr>
        <w:t xml:space="preserve">BRANDALISE, Mary Ângela Teixeira. Avaliação institucional da escola: conceitos, contextos e práticas. </w:t>
      </w:r>
      <w:r>
        <w:rPr>
          <w:rFonts w:ascii="Calibri" w:eastAsia="Arial" w:hAnsi="Calibri" w:cs="Arial"/>
          <w:b/>
          <w:bCs/>
          <w:color w:val="222222"/>
        </w:rPr>
        <w:t xml:space="preserve">Olhar de Professor, </w:t>
      </w:r>
      <w:r>
        <w:rPr>
          <w:rFonts w:ascii="Calibri" w:eastAsia="Arial" w:hAnsi="Calibri" w:cs="Arial"/>
          <w:color w:val="222222"/>
        </w:rPr>
        <w:t xml:space="preserve">Ponta Grossa, v. 13, n. 2, p. 315-330, 2010. </w:t>
      </w:r>
    </w:p>
    <w:p w14:paraId="75612269" w14:textId="77777777" w:rsidR="000102B8" w:rsidRDefault="000102B8" w:rsidP="000102B8">
      <w:pPr>
        <w:jc w:val="both"/>
        <w:rPr>
          <w:rFonts w:ascii="Calibri" w:eastAsia="Arial" w:hAnsi="Calibri" w:cs="Arial"/>
          <w:color w:val="222222"/>
        </w:rPr>
      </w:pPr>
    </w:p>
    <w:p w14:paraId="2A72057D" w14:textId="77777777" w:rsidR="000102B8" w:rsidRDefault="000102B8" w:rsidP="000102B8">
      <w:pPr>
        <w:jc w:val="both"/>
        <w:rPr>
          <w:rFonts w:ascii="Calibri" w:eastAsia="Arial" w:hAnsi="Calibri" w:cs="Arial"/>
          <w:color w:val="222222"/>
        </w:rPr>
      </w:pPr>
      <w:r>
        <w:rPr>
          <w:rFonts w:ascii="Calibri" w:eastAsia="Arial" w:hAnsi="Calibri" w:cs="Arial"/>
          <w:color w:val="222222"/>
          <w:shd w:val="clear" w:color="auto" w:fill="FFFFFF"/>
        </w:rPr>
        <w:t xml:space="preserve">SORDI, Mara Regina Lemes; LUDKE, Menga. Da avaliação da aprendizagem à avaliação institucional: aprendizagens necessárias. </w:t>
      </w:r>
      <w:r>
        <w:rPr>
          <w:rFonts w:ascii="Calibri" w:eastAsia="Arial" w:hAnsi="Calibri" w:cs="Arial"/>
          <w:b/>
          <w:bCs/>
          <w:color w:val="222222"/>
          <w:shd w:val="clear" w:color="auto" w:fill="FFFFFF"/>
        </w:rPr>
        <w:t>Avaliação: Revista da Avaliação da Educação Superior</w:t>
      </w:r>
      <w:r>
        <w:rPr>
          <w:rFonts w:ascii="Calibri" w:eastAsia="Arial" w:hAnsi="Calibri" w:cs="Arial"/>
          <w:color w:val="222222"/>
          <w:shd w:val="clear" w:color="auto" w:fill="FFFFFF"/>
        </w:rPr>
        <w:t xml:space="preserve">, v. 14, n. 2, 2009. Disponível em: </w:t>
      </w:r>
      <w:hyperlink r:id="rId14" w:history="1">
        <w:r>
          <w:rPr>
            <w:rStyle w:val="Hyperlink"/>
            <w:rFonts w:ascii="Calibri" w:eastAsia="Arial" w:hAnsi="Calibri" w:cs="Arial"/>
            <w:shd w:val="clear" w:color="auto" w:fill="FFFFFF"/>
          </w:rPr>
          <w:t>http://submission.scielo.br/index.php/aval/article/viewArticle/9719</w:t>
        </w:r>
      </w:hyperlink>
    </w:p>
    <w:p w14:paraId="73496340" w14:textId="77777777" w:rsidR="000102B8" w:rsidRDefault="000102B8" w:rsidP="000102B8">
      <w:pPr>
        <w:pStyle w:val="SemEspaamento"/>
        <w:spacing w:line="276" w:lineRule="auto"/>
        <w:ind w:right="-1"/>
        <w:contextualSpacing/>
        <w:rPr>
          <w:rFonts w:cs="Arial"/>
        </w:rPr>
      </w:pPr>
    </w:p>
    <w:p w14:paraId="61717C18" w14:textId="77777777" w:rsidR="000102B8" w:rsidRDefault="000102B8" w:rsidP="000102B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16409CD" w14:textId="77777777" w:rsidR="0013251E" w:rsidRPr="001B7839" w:rsidRDefault="0013251E" w:rsidP="0013251E">
      <w:pPr>
        <w:jc w:val="center"/>
        <w:rPr>
          <w:u w:val="single"/>
        </w:rPr>
      </w:pPr>
    </w:p>
    <w:sectPr w:rsidR="0013251E" w:rsidRPr="001B7839" w:rsidSect="000102B8">
      <w:headerReference w:type="default" r:id="rId15"/>
      <w:footerReference w:type="default" r:id="rId16"/>
      <w:pgSz w:w="12242" w:h="19442" w:code="190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9FC8" w14:textId="77777777" w:rsidR="00484A67" w:rsidRDefault="00484A67">
      <w:r>
        <w:separator/>
      </w:r>
    </w:p>
  </w:endnote>
  <w:endnote w:type="continuationSeparator" w:id="0">
    <w:p w14:paraId="219B4DA3" w14:textId="77777777" w:rsidR="00484A67" w:rsidRDefault="0048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635A7296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</w:t>
    </w:r>
    <w:r w:rsidR="001C7C67">
      <w:rPr>
        <w:rFonts w:ascii="Georgia" w:hAnsi="Georgia"/>
        <w:b/>
        <w:bCs/>
        <w:sz w:val="16"/>
        <w:szCs w:val="16"/>
      </w:rPr>
      <w:t>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18EE36E4" w:rsidR="00F1482B" w:rsidRPr="00141C4E" w:rsidRDefault="001C7C67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</w:t>
    </w:r>
    <w:r w:rsidR="00F1482B">
      <w:rPr>
        <w:rFonts w:ascii="Georgia" w:hAnsi="Georgia"/>
        <w:b/>
        <w:bCs/>
        <w:sz w:val="16"/>
        <w:szCs w:val="16"/>
      </w:rPr>
      <w:t xml:space="preserve"> - E-mail: formep</w:t>
    </w:r>
    <w:r w:rsidR="00F1482B"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D10A" w14:textId="77777777" w:rsidR="00484A67" w:rsidRDefault="00484A67">
      <w:r>
        <w:separator/>
      </w:r>
    </w:p>
  </w:footnote>
  <w:footnote w:type="continuationSeparator" w:id="0">
    <w:p w14:paraId="0AA04BBC" w14:textId="77777777" w:rsidR="00484A67" w:rsidRDefault="0048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7218CFC2" w:rsidR="00AF4B7F" w:rsidRPr="00F1482B" w:rsidRDefault="00B836A8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Educação: </w:t>
                          </w:r>
                          <w:r w:rsidR="001C7C67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7218CFC2" w:rsidR="00AF4B7F" w:rsidRPr="00F1482B" w:rsidRDefault="00B836A8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Educação: </w:t>
                    </w:r>
                    <w:r w:rsidR="001C7C67">
                      <w:rPr>
                        <w:rFonts w:ascii="Georgia" w:hAnsi="Georgia"/>
                        <w:sz w:val="28"/>
                        <w:szCs w:val="28"/>
                      </w:rPr>
                      <w:t>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04BBD"/>
    <w:rsid w:val="000102B8"/>
    <w:rsid w:val="00025435"/>
    <w:rsid w:val="0009634B"/>
    <w:rsid w:val="000C7023"/>
    <w:rsid w:val="000E28A9"/>
    <w:rsid w:val="00112086"/>
    <w:rsid w:val="00120B12"/>
    <w:rsid w:val="0013251E"/>
    <w:rsid w:val="001729EF"/>
    <w:rsid w:val="0019282D"/>
    <w:rsid w:val="001A462A"/>
    <w:rsid w:val="001B3BA5"/>
    <w:rsid w:val="001B7839"/>
    <w:rsid w:val="001C6A87"/>
    <w:rsid w:val="001C7C67"/>
    <w:rsid w:val="001D3F48"/>
    <w:rsid w:val="001E5BF0"/>
    <w:rsid w:val="001F24F6"/>
    <w:rsid w:val="0020561A"/>
    <w:rsid w:val="00211564"/>
    <w:rsid w:val="00212C10"/>
    <w:rsid w:val="0021563F"/>
    <w:rsid w:val="002347BC"/>
    <w:rsid w:val="00234E74"/>
    <w:rsid w:val="002477C4"/>
    <w:rsid w:val="00251C9F"/>
    <w:rsid w:val="002639D4"/>
    <w:rsid w:val="002C268F"/>
    <w:rsid w:val="003121A5"/>
    <w:rsid w:val="003261FF"/>
    <w:rsid w:val="003A00B6"/>
    <w:rsid w:val="003A0558"/>
    <w:rsid w:val="003B3AA8"/>
    <w:rsid w:val="003D0D9C"/>
    <w:rsid w:val="00444BE3"/>
    <w:rsid w:val="004455C1"/>
    <w:rsid w:val="00477392"/>
    <w:rsid w:val="00484A67"/>
    <w:rsid w:val="004968CA"/>
    <w:rsid w:val="004E29BE"/>
    <w:rsid w:val="004E3726"/>
    <w:rsid w:val="004E45B7"/>
    <w:rsid w:val="004E70FE"/>
    <w:rsid w:val="005072F3"/>
    <w:rsid w:val="005672A9"/>
    <w:rsid w:val="00571FA4"/>
    <w:rsid w:val="00592EA6"/>
    <w:rsid w:val="005B4027"/>
    <w:rsid w:val="006166D6"/>
    <w:rsid w:val="00632790"/>
    <w:rsid w:val="006872A7"/>
    <w:rsid w:val="006C1077"/>
    <w:rsid w:val="006C11B5"/>
    <w:rsid w:val="006C2D4A"/>
    <w:rsid w:val="00824907"/>
    <w:rsid w:val="00837D9A"/>
    <w:rsid w:val="00852E30"/>
    <w:rsid w:val="008779A6"/>
    <w:rsid w:val="008D224A"/>
    <w:rsid w:val="008D64A3"/>
    <w:rsid w:val="008F2A0B"/>
    <w:rsid w:val="00982B38"/>
    <w:rsid w:val="009A47A0"/>
    <w:rsid w:val="009B50F9"/>
    <w:rsid w:val="00A1733F"/>
    <w:rsid w:val="00A23E13"/>
    <w:rsid w:val="00A47331"/>
    <w:rsid w:val="00A66C3C"/>
    <w:rsid w:val="00A95B16"/>
    <w:rsid w:val="00AF4B7F"/>
    <w:rsid w:val="00B10393"/>
    <w:rsid w:val="00B836A8"/>
    <w:rsid w:val="00B84793"/>
    <w:rsid w:val="00B85875"/>
    <w:rsid w:val="00BD0B63"/>
    <w:rsid w:val="00BD739A"/>
    <w:rsid w:val="00BF3A2D"/>
    <w:rsid w:val="00C0017F"/>
    <w:rsid w:val="00C1100B"/>
    <w:rsid w:val="00C2407B"/>
    <w:rsid w:val="00C54BAD"/>
    <w:rsid w:val="00CA4FF3"/>
    <w:rsid w:val="00CC70CB"/>
    <w:rsid w:val="00CE3B34"/>
    <w:rsid w:val="00CF58F7"/>
    <w:rsid w:val="00D208E3"/>
    <w:rsid w:val="00D674B0"/>
    <w:rsid w:val="00D94479"/>
    <w:rsid w:val="00DE3544"/>
    <w:rsid w:val="00DF3492"/>
    <w:rsid w:val="00E12762"/>
    <w:rsid w:val="00E262A3"/>
    <w:rsid w:val="00E3479E"/>
    <w:rsid w:val="00E44FE7"/>
    <w:rsid w:val="00E507AF"/>
    <w:rsid w:val="00EF0C7E"/>
    <w:rsid w:val="00F1482B"/>
    <w:rsid w:val="00F51B1E"/>
    <w:rsid w:val="00F55975"/>
    <w:rsid w:val="00FC623F"/>
    <w:rsid w:val="00FD6705"/>
    <w:rsid w:val="00FE5705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customStyle="1" w:styleId="xmsonormal">
    <w:name w:val="x_msonormal"/>
    <w:basedOn w:val="Normal"/>
    <w:rsid w:val="001C7C6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0102B8"/>
    <w:pPr>
      <w:ind w:right="-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1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oes.fcc.org.br/ojs/index.php/eae/article/view/3671" TargetMode="External"/><Relationship Id="rId13" Type="http://schemas.openxmlformats.org/officeDocument/2006/relationships/hyperlink" Target="http://www.fvc.org.br/pdf/livro2-01-avaliaca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.fcc.org.br/scielo.php?script=sci_arttext&amp;pid=S0103&#8208;%2068312000000200005&amp;lng=pt&amp;nrm=iso" TargetMode="External"/><Relationship Id="rId12" Type="http://schemas.openxmlformats.org/officeDocument/2006/relationships/hyperlink" Target="http://idesp.edunet.sp.gov.br/Arquivos/NotaTecnica201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alyc.org/articulo.oa?id=873285340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ublicacoes.fcc.org.br/ojs/index.php/eae/article/view/3673/3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coes.fcc.org.br/ojs/index.php/eae/article/view/3690" TargetMode="External"/><Relationship Id="rId14" Type="http://schemas.openxmlformats.org/officeDocument/2006/relationships/hyperlink" Target="http://submission.scielo.br/index.php/aval/article/viewArticle/97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2</cp:revision>
  <cp:lastPrinted>2021-12-03T22:07:00Z</cp:lastPrinted>
  <dcterms:created xsi:type="dcterms:W3CDTF">2022-03-30T20:00:00Z</dcterms:created>
  <dcterms:modified xsi:type="dcterms:W3CDTF">2022-03-30T20:00:00Z</dcterms:modified>
</cp:coreProperties>
</file>